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Calibri" w:hAnsi="Calibri"/>
          <w:sz w:val="28"/>
        </w:rPr>
      </w:pPr>
      <w:r>
        <w:rPr>
          <w:rFonts w:ascii="Calibri" w:hAnsi="Calibri"/>
          <w:sz w:val="28"/>
        </w:rPr>
        <w:t>UNIVERSITY OF ONTARIO INSTITUTE OF TECHNOLOGY</w:t>
      </w:r>
    </w:p>
    <w:p>
      <w:pPr>
        <w:pStyle w:val="style0"/>
        <w:jc w:val="center"/>
        <w:rPr>
          <w:rFonts w:ascii="Calibri" w:hAnsi="Calibri"/>
          <w:sz w:val="28"/>
        </w:rPr>
      </w:pPr>
      <w:r>
        <w:rPr>
          <w:rFonts w:ascii="Calibri" w:hAnsi="Calibri"/>
          <w:sz w:val="28"/>
        </w:rPr>
        <w:t>BUSI 1130</w:t>
      </w:r>
      <w:r>
        <w:rPr>
          <w:rFonts w:ascii="Calibri" w:hAnsi="Calibri"/>
          <w:sz w:val="28"/>
        </w:rPr>
        <w:t>—Intr</w:t>
      </w:r>
      <w:r>
        <w:rPr>
          <w:rFonts w:ascii="Calibri" w:hAnsi="Calibri"/>
          <w:sz w:val="28"/>
        </w:rPr>
        <w:t>oductory Financial Accounting</w:t>
      </w:r>
    </w:p>
    <w:p>
      <w:pPr>
        <w:pStyle w:val="style0"/>
        <w:jc w:val="center"/>
        <w:rPr>
          <w:rFonts w:ascii="Calibri" w:hAnsi="Calibri"/>
          <w:sz w:val="28"/>
        </w:rPr>
      </w:pPr>
      <w:r>
        <w:rPr>
          <w:rFonts w:ascii="Calibri" w:hAnsi="Calibri"/>
          <w:sz w:val="28"/>
        </w:rPr>
        <w:t>WINTER</w:t>
      </w:r>
      <w:r>
        <w:rPr>
          <w:rFonts w:ascii="Calibri" w:hAnsi="Calibri"/>
          <w:sz w:val="28"/>
        </w:rPr>
        <w:t xml:space="preserve"> </w:t>
      </w:r>
      <w:r>
        <w:rPr>
          <w:rFonts w:ascii="Calibri" w:hAnsi="Calibri"/>
          <w:sz w:val="28"/>
        </w:rPr>
        <w:t>2019</w:t>
      </w:r>
    </w:p>
    <w:p>
      <w:pPr>
        <w:pStyle w:val="style0"/>
        <w:jc w:val="center"/>
        <w:rPr>
          <w:rFonts w:ascii="Calibri" w:hAnsi="Calibri"/>
          <w:sz w:val="28"/>
        </w:rPr>
      </w:pPr>
    </w:p>
    <w:p>
      <w:pPr>
        <w:pStyle w:val="style0"/>
        <w:jc w:val="center"/>
        <w:rPr>
          <w:rFonts w:ascii="Calibri" w:hAnsi="Calibri"/>
          <w:b/>
        </w:rPr>
      </w:pPr>
      <w:r>
        <w:rPr>
          <w:rFonts w:ascii="Calibri" w:hAnsi="Calibri"/>
          <w:b/>
        </w:rPr>
        <w:t>Face-to-face hand-in</w:t>
      </w:r>
      <w:r>
        <w:rPr>
          <w:rFonts w:ascii="Calibri" w:hAnsi="Calibri"/>
          <w:b/>
        </w:rPr>
        <w:t xml:space="preserve"> assignment</w:t>
      </w:r>
      <w:r>
        <w:rPr>
          <w:rFonts w:ascii="Calibri" w:hAnsi="Calibri"/>
          <w:b/>
        </w:rPr>
        <w:t xml:space="preserve"> #</w:t>
      </w:r>
      <w:r>
        <w:rPr>
          <w:rFonts w:ascii="Calibri" w:hAnsi="Calibri"/>
          <w:b/>
        </w:rPr>
        <w:t>8</w:t>
      </w:r>
    </w:p>
    <w:p>
      <w:pPr>
        <w:pStyle w:val="style0"/>
        <w:jc w:val="center"/>
        <w:rPr>
          <w:rFonts w:ascii="Calibri" w:hAnsi="Calibri"/>
          <w:b/>
        </w:rPr>
      </w:pPr>
    </w:p>
    <w:p>
      <w:pPr>
        <w:pStyle w:val="style0"/>
        <w:ind w:left="360"/>
        <w:rPr>
          <w:rFonts w:ascii="Calibri" w:hAnsi="Calibri"/>
          <w:b/>
          <w:lang w:val="en-US"/>
        </w:rPr>
      </w:pPr>
      <w:r>
        <w:rPr>
          <w:rFonts w:ascii="Calibri" w:hAnsi="Calibri"/>
          <w:b/>
          <w:lang w:val="en-US"/>
        </w:rPr>
        <w:t>Submission Requirements</w:t>
      </w:r>
    </w:p>
    <w:p>
      <w:pPr>
        <w:pStyle w:val="style179"/>
        <w:numPr>
          <w:ilvl w:val="0"/>
          <w:numId w:val="1"/>
        </w:numPr>
        <w:rPr>
          <w:rFonts w:ascii="Calibri" w:hAnsi="Calibri"/>
          <w:b/>
          <w:lang w:val="en-US"/>
        </w:rPr>
      </w:pPr>
      <w:r>
        <w:rPr>
          <w:rFonts w:ascii="Calibri" w:hAnsi="Calibri"/>
          <w:color w:val="ff0000"/>
        </w:rPr>
        <w:t>You must hand in your face-to-face submissions on Blackboard prior to the start of class</w:t>
      </w:r>
      <w:r>
        <w:rPr>
          <w:rFonts w:ascii="Calibri" w:hAnsi="Calibri"/>
        </w:rPr>
        <w:t>.  Late submissions will not be accepted.</w:t>
      </w:r>
    </w:p>
    <w:p>
      <w:pPr>
        <w:pStyle w:val="style179"/>
        <w:numPr>
          <w:ilvl w:val="0"/>
          <w:numId w:val="1"/>
        </w:numPr>
        <w:rPr>
          <w:rFonts w:ascii="Calibri" w:hAnsi="Calibri"/>
          <w:b/>
          <w:lang w:val="en-US"/>
        </w:rPr>
      </w:pPr>
      <w:r>
        <w:rPr>
          <w:rFonts w:ascii="Calibri" w:hAnsi="Calibri"/>
        </w:rPr>
        <w:t>Face-to-face assignments must be typed.</w:t>
      </w:r>
    </w:p>
    <w:p>
      <w:pPr>
        <w:pStyle w:val="style179"/>
        <w:numPr>
          <w:ilvl w:val="0"/>
          <w:numId w:val="1"/>
        </w:numPr>
        <w:rPr>
          <w:rFonts w:ascii="Calibri" w:hAnsi="Calibri"/>
          <w:b/>
          <w:lang w:val="en-US"/>
        </w:rPr>
      </w:pPr>
      <w:r>
        <w:rPr>
          <w:rFonts w:ascii="Calibri" w:hAnsi="Calibri"/>
        </w:rPr>
        <w:t>You must attempt to answer all questions, including any required calculations, in order to receive a passing grade.</w:t>
      </w:r>
    </w:p>
    <w:p>
      <w:pPr>
        <w:pStyle w:val="style179"/>
        <w:numPr>
          <w:ilvl w:val="0"/>
          <w:numId w:val="1"/>
        </w:numPr>
        <w:rPr>
          <w:rFonts w:ascii="Calibri" w:hAnsi="Calibri"/>
          <w:b/>
          <w:u w:val="single"/>
          <w:lang w:val="en-US"/>
        </w:rPr>
      </w:pPr>
      <w:r>
        <w:rPr>
          <w:rFonts w:ascii="Calibri" w:hAnsi="Calibri"/>
          <w:color w:val="ff0000"/>
          <w:u w:val="single"/>
        </w:rPr>
        <w:t>YOU MUST WORK ON YOUR OWN.  INSTANCES OF PLAIGARISM WILL BE TAKEN SERIOUSLY.</w:t>
      </w:r>
    </w:p>
    <w:p>
      <w:pPr>
        <w:pStyle w:val="style0"/>
        <w:rPr>
          <w:rFonts w:ascii="Calibri" w:hAnsi="Calibri"/>
          <w:b/>
        </w:rPr>
      </w:pPr>
    </w:p>
    <w:p>
      <w:pPr>
        <w:pStyle w:val="style0"/>
        <w:rPr>
          <w:rFonts w:ascii="Calibri" w:hAnsi="Calibri"/>
          <w:b/>
        </w:rPr>
      </w:pPr>
      <w:r>
        <w:rPr>
          <w:rFonts w:ascii="Calibri" w:hAnsi="Calibri"/>
          <w:b/>
        </w:rPr>
        <w:t>Part I:</w:t>
      </w:r>
    </w:p>
    <w:p>
      <w:pPr>
        <w:pStyle w:val="style179"/>
        <w:numPr>
          <w:ilvl w:val="0"/>
          <w:numId w:val="11"/>
        </w:numPr>
        <w:rPr>
          <w:rFonts w:ascii="Calibri" w:hAnsi="Calibri"/>
          <w:b/>
        </w:rPr>
      </w:pPr>
      <w:r>
        <w:rPr>
          <w:rFonts w:ascii="Calibri" w:hAnsi="Calibri"/>
          <w:b/>
        </w:rPr>
        <w:t>Using Metro Financial Statements calculate the following ratios for 2018:</w:t>
      </w:r>
    </w:p>
    <w:p>
      <w:pPr>
        <w:pStyle w:val="style179"/>
        <w:numPr>
          <w:ilvl w:val="1"/>
          <w:numId w:val="11"/>
        </w:numPr>
        <w:rPr>
          <w:rFonts w:ascii="Calibri" w:hAnsi="Calibri"/>
          <w:b/>
        </w:rPr>
      </w:pPr>
      <w:r>
        <w:rPr>
          <w:rFonts w:ascii="Calibri" w:hAnsi="Calibri"/>
          <w:b/>
        </w:rPr>
        <w:t>Debt to Equity Ratio</w:t>
      </w:r>
    </w:p>
    <w:tbl>
      <w:tblPr>
        <w:tblW w:w="4440" w:type="dxa"/>
        <w:tblInd w:w="-5" w:type="dxa"/>
        <w:tblLook w:val="04A0" w:firstRow="1" w:lastRow="0" w:firstColumn="1" w:lastColumn="0" w:noHBand="0" w:noVBand="1"/>
      </w:tblPr>
      <w:tblGrid>
        <w:gridCol w:w="1689"/>
        <w:gridCol w:w="816"/>
        <w:gridCol w:w="864"/>
        <w:gridCol w:w="1071"/>
      </w:tblGrid>
      <w:tr>
        <w:trPr>
          <w:trHeight w:val="300" w:hRule="atLeast"/>
        </w:trPr>
        <w:tc>
          <w:tcPr>
            <w:tcW w:w="24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jc w:val="center"/>
              <w:rPr>
                <w:rFonts w:ascii="Calibri" w:cs="Calibri" w:hAnsi="Calibri"/>
                <w:b/>
                <w:bCs/>
                <w:color w:val="000000"/>
                <w:sz w:val="22"/>
                <w:szCs w:val="22"/>
              </w:rPr>
            </w:pPr>
            <w:r>
              <w:rPr>
                <w:rFonts w:ascii="Calibri" w:cs="Calibri" w:hAnsi="Calibri"/>
                <w:b/>
                <w:bCs/>
                <w:color w:val="000000"/>
                <w:sz w:val="22"/>
                <w:szCs w:val="22"/>
              </w:rPr>
              <w:t>Debt to equity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2520" w:type="dxa"/>
            <w:gridSpan w:val="3"/>
            <w:tcBorders>
              <w:top w:val="single" w:sz="4" w:space="0" w:color="auto"/>
              <w:left w:val="nil"/>
              <w:bottom w:val="single" w:sz="4" w:space="0" w:color="auto"/>
              <w:right w:val="single" w:sz="4" w:space="0" w:color="auto"/>
            </w:tcBorders>
            <w:shd w:val="clear" w:color="auto" w:fill="auto"/>
            <w:noWrap/>
            <w:vAlign w:val="bottom"/>
            <w:hideMark/>
          </w:tcPr>
          <w:p>
            <w:pPr>
              <w:pStyle w:val="style0"/>
              <w:jc w:val="center"/>
              <w:rPr>
                <w:rFonts w:ascii="Calibri" w:cs="Calibri" w:hAnsi="Calibri"/>
                <w:color w:val="000000"/>
                <w:sz w:val="22"/>
                <w:szCs w:val="22"/>
              </w:rPr>
            </w:pPr>
            <w:r>
              <w:rPr>
                <w:rFonts w:ascii="Calibri" w:cs="Calibri" w:hAnsi="Calibri"/>
                <w:color w:val="000000"/>
                <w:sz w:val="22"/>
                <w:szCs w:val="22"/>
              </w:rPr>
              <w:t>Total debt/Total equity</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Total debt</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5266.23</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Total equity</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5656</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Ratio</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0.93</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r>
    </w:tbl>
    <w:p>
      <w:pPr>
        <w:pStyle w:val="style179"/>
        <w:ind w:left="1440"/>
        <w:rPr>
          <w:rFonts w:ascii="Calibri" w:hAnsi="Calibri"/>
          <w:b/>
        </w:rPr>
      </w:pPr>
    </w:p>
    <w:p>
      <w:pPr>
        <w:pStyle w:val="style179"/>
        <w:numPr>
          <w:ilvl w:val="1"/>
          <w:numId w:val="11"/>
        </w:numPr>
        <w:rPr>
          <w:rFonts w:ascii="Calibri" w:hAnsi="Calibri"/>
          <w:b/>
        </w:rPr>
      </w:pPr>
      <w:r>
        <w:rPr>
          <w:rFonts w:ascii="Calibri" w:hAnsi="Calibri"/>
          <w:b/>
        </w:rPr>
        <w:t>A/P Turnover Ratio</w:t>
      </w:r>
    </w:p>
    <w:tbl>
      <w:tblPr>
        <w:tblW w:w="4920" w:type="dxa"/>
        <w:tblInd w:w="-5" w:type="dxa"/>
        <w:tblLook w:val="04A0" w:firstRow="1" w:lastRow="0" w:firstColumn="1" w:lastColumn="0" w:noHBand="0" w:noVBand="1"/>
      </w:tblPr>
      <w:tblGrid>
        <w:gridCol w:w="2071"/>
        <w:gridCol w:w="1156"/>
        <w:gridCol w:w="417"/>
        <w:gridCol w:w="1276"/>
      </w:tblGrid>
      <w:tr>
        <w:trPr>
          <w:trHeight w:val="315" w:hRule="atLeast"/>
        </w:trPr>
        <w:tc>
          <w:tcPr>
            <w:tcW w:w="38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pPr>
              <w:pStyle w:val="style0"/>
              <w:jc w:val="center"/>
              <w:rPr>
                <w:rFonts w:ascii="Calibri" w:cs="Calibri" w:hAnsi="Calibri"/>
                <w:b/>
                <w:bCs/>
                <w:color w:val="000000"/>
              </w:rPr>
            </w:pPr>
            <w:r>
              <w:rPr>
                <w:rFonts w:eastAsia="Calibri"/>
                <w:b/>
                <w:bCs/>
                <w:color w:val="000000"/>
                <w:sz w:val="14"/>
                <w:szCs w:val="14"/>
              </w:rPr>
              <w:t xml:space="preserve">  </w:t>
            </w:r>
            <w:r>
              <w:rPr>
                <w:rFonts w:ascii="Calibri" w:cs="Calibri" w:eastAsia="Calibri" w:hAnsi="Calibri"/>
                <w:b/>
                <w:bCs/>
                <w:color w:val="000000"/>
              </w:rPr>
              <w:t>A/P Turnover Ratio</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r>
      <w:tr>
        <w:tblPrEx/>
        <w:trPr>
          <w:trHeight w:val="300" w:hRule="atLeas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2040" w:type="dxa"/>
            <w:gridSpan w:val="3"/>
            <w:tcBorders>
              <w:top w:val="single" w:sz="4" w:space="0" w:color="auto"/>
              <w:left w:val="nil"/>
              <w:bottom w:val="single" w:sz="4" w:space="0" w:color="auto"/>
              <w:right w:val="single" w:sz="4" w:space="0" w:color="auto"/>
            </w:tcBorders>
            <w:shd w:val="clear" w:color="auto" w:fill="auto"/>
            <w:noWrap/>
            <w:vAlign w:val="bottom"/>
            <w:hideMark/>
          </w:tcPr>
          <w:p>
            <w:pPr>
              <w:pStyle w:val="style0"/>
              <w:jc w:val="center"/>
              <w:rPr>
                <w:rFonts w:ascii="Calibri" w:cs="Calibri" w:hAnsi="Calibri"/>
                <w:color w:val="000000"/>
                <w:sz w:val="22"/>
                <w:szCs w:val="22"/>
              </w:rPr>
            </w:pPr>
            <w:r>
              <w:rPr>
                <w:rFonts w:ascii="Calibri" w:cs="Calibri" w:hAnsi="Calibri"/>
                <w:color w:val="000000"/>
                <w:sz w:val="22"/>
                <w:szCs w:val="22"/>
              </w:rPr>
              <w:t>Cost of sales/Accounts payable</w:t>
            </w:r>
          </w:p>
        </w:tc>
      </w:tr>
      <w:tr>
        <w:tblPrEx/>
        <w:trPr>
          <w:trHeight w:val="300" w:hRule="atLeas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Cost of sales</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13329.5</w:t>
            </w:r>
          </w:p>
        </w:tc>
      </w:tr>
      <w:tr>
        <w:tblPrEx/>
        <w:trPr>
          <w:trHeight w:val="300" w:hRule="atLeas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Accounts payable</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1358.5</w:t>
            </w:r>
          </w:p>
        </w:tc>
      </w:tr>
      <w:tr>
        <w:tblPrEx/>
        <w:trPr>
          <w:trHeight w:val="300" w:hRule="atLeast"/>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Ratio</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9.8119249</w:t>
            </w:r>
          </w:p>
        </w:tc>
      </w:tr>
    </w:tbl>
    <w:p>
      <w:pPr>
        <w:pStyle w:val="style179"/>
        <w:ind w:left="1440"/>
        <w:rPr>
          <w:rFonts w:ascii="Calibri" w:hAnsi="Calibri"/>
          <w:b/>
        </w:rPr>
      </w:pPr>
    </w:p>
    <w:p>
      <w:pPr>
        <w:pStyle w:val="style179"/>
        <w:numPr>
          <w:ilvl w:val="1"/>
          <w:numId w:val="11"/>
        </w:numPr>
        <w:rPr>
          <w:rFonts w:ascii="Calibri" w:hAnsi="Calibri"/>
          <w:b/>
        </w:rPr>
      </w:pPr>
      <w:r>
        <w:rPr>
          <w:rFonts w:ascii="Calibri" w:hAnsi="Calibri"/>
          <w:b/>
        </w:rPr>
        <w:t>A/P Payment Period</w:t>
      </w:r>
    </w:p>
    <w:tbl>
      <w:tblPr>
        <w:tblW w:w="4440" w:type="dxa"/>
        <w:tblInd w:w="-5" w:type="dxa"/>
        <w:tblLook w:val="04A0" w:firstRow="1" w:lastRow="0" w:firstColumn="1" w:lastColumn="0" w:noHBand="0" w:noVBand="1"/>
      </w:tblPr>
      <w:tblGrid>
        <w:gridCol w:w="1347"/>
        <w:gridCol w:w="1096"/>
        <w:gridCol w:w="721"/>
        <w:gridCol w:w="1276"/>
      </w:tblGrid>
      <w:tr>
        <w:trPr>
          <w:trHeight w:val="300" w:hRule="atLeast"/>
        </w:trPr>
        <w:tc>
          <w:tcPr>
            <w:tcW w:w="24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jc w:val="center"/>
              <w:rPr>
                <w:rFonts w:ascii="Calibri" w:cs="Calibri" w:hAnsi="Calibri"/>
                <w:color w:val="000000"/>
                <w:sz w:val="22"/>
                <w:szCs w:val="22"/>
              </w:rPr>
            </w:pPr>
            <w:r>
              <w:rPr>
                <w:rFonts w:ascii="Calibri" w:cs="Calibri" w:hAnsi="Calibri"/>
                <w:color w:val="000000"/>
                <w:sz w:val="22"/>
                <w:szCs w:val="22"/>
              </w:rPr>
              <w:t>Payment period</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2520" w:type="dxa"/>
            <w:gridSpan w:val="3"/>
            <w:tcBorders>
              <w:top w:val="single" w:sz="4" w:space="0" w:color="auto"/>
              <w:left w:val="nil"/>
              <w:bottom w:val="single" w:sz="4" w:space="0" w:color="auto"/>
              <w:right w:val="single" w:sz="4" w:space="0" w:color="auto"/>
            </w:tcBorders>
            <w:shd w:val="clear" w:color="auto" w:fill="auto"/>
            <w:noWrap/>
            <w:vAlign w:val="bottom"/>
            <w:hideMark/>
          </w:tcPr>
          <w:p>
            <w:pPr>
              <w:pStyle w:val="style0"/>
              <w:jc w:val="center"/>
              <w:rPr>
                <w:rFonts w:ascii="Calibri" w:cs="Calibri" w:hAnsi="Calibri"/>
                <w:color w:val="000000"/>
                <w:sz w:val="22"/>
                <w:szCs w:val="22"/>
              </w:rPr>
            </w:pPr>
            <w:r>
              <w:rPr>
                <w:rFonts w:ascii="Calibri" w:cs="Calibri" w:hAnsi="Calibri"/>
                <w:color w:val="000000"/>
                <w:sz w:val="22"/>
                <w:szCs w:val="22"/>
              </w:rPr>
              <w:t>365/A/P turnover ratio</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Turnover ratio</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9.8119249</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Payment period</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37.199632</w:t>
            </w:r>
          </w:p>
        </w:tc>
      </w:tr>
      <w:tr>
        <w:tblPrEx/>
        <w:trPr>
          <w:trHeight w:val="300" w:hRule="atLeast"/>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r>
    </w:tbl>
    <w:p>
      <w:pPr>
        <w:pStyle w:val="style179"/>
        <w:ind w:left="1440"/>
        <w:rPr>
          <w:rFonts w:ascii="Calibri" w:hAnsi="Calibri"/>
          <w:b/>
        </w:rPr>
      </w:pPr>
    </w:p>
    <w:p>
      <w:pPr>
        <w:pStyle w:val="style179"/>
        <w:ind w:left="1440"/>
        <w:rPr>
          <w:rFonts w:ascii="Calibri" w:hAnsi="Calibri"/>
          <w:b/>
        </w:rPr>
      </w:pPr>
    </w:p>
    <w:p>
      <w:pPr>
        <w:pStyle w:val="style0"/>
        <w:rPr>
          <w:rFonts w:ascii="Calibri" w:hAnsi="Calibri"/>
          <w:b/>
        </w:rPr>
      </w:pPr>
    </w:p>
    <w:p>
      <w:pPr>
        <w:pStyle w:val="style179"/>
        <w:numPr>
          <w:ilvl w:val="0"/>
          <w:numId w:val="11"/>
        </w:numPr>
        <w:rPr>
          <w:rFonts w:ascii="Calibri" w:hAnsi="Calibri"/>
          <w:b/>
        </w:rPr>
      </w:pPr>
      <w:r>
        <w:rPr>
          <w:rFonts w:ascii="Calibri" w:hAnsi="Calibri"/>
          <w:b/>
        </w:rPr>
        <w:t>What is are the interest rates on Metro’s Non-current Debt in 2018. Which debt instrument has the highest interest rate and why do you think that is? How much has to be repaid in 2020</w:t>
      </w:r>
      <w:r>
        <w:rPr>
          <w:rFonts w:ascii="Calibri" w:hAnsi="Calibri"/>
          <w:b/>
        </w:rPr>
        <w:t>?</w:t>
      </w:r>
    </w:p>
    <w:p>
      <w:pPr>
        <w:pStyle w:val="style179"/>
        <w:rPr>
          <w:rFonts w:ascii="Calibri" w:hAnsi="Calibri"/>
        </w:rPr>
      </w:pPr>
      <w:r>
        <w:rPr>
          <w:rFonts w:ascii="Calibri" w:hAnsi="Calibri"/>
        </w:rPr>
        <w:t xml:space="preserve">The interest rates on the non-current debt is 13%. The debt instrument having the highest interest </w:t>
      </w:r>
      <w:r>
        <w:rPr>
          <w:rFonts w:ascii="Calibri" w:hAnsi="Calibri"/>
        </w:rPr>
        <w:t>is the obligation under finance lease bearing interest at 7.71%</w:t>
      </w:r>
    </w:p>
    <w:p>
      <w:pPr>
        <w:pStyle w:val="style179"/>
        <w:rPr>
          <w:rFonts w:ascii="Calibri" w:hAnsi="Calibri"/>
        </w:rPr>
      </w:pPr>
      <w:r>
        <w:rPr>
          <w:rFonts w:ascii="Calibri" w:hAnsi="Calibri"/>
        </w:rPr>
        <w:t>The amount to be repaid in 2020</w:t>
      </w:r>
    </w:p>
    <w:p>
      <w:pPr>
        <w:pStyle w:val="style179"/>
        <w:rPr>
          <w:rFonts w:ascii="Calibri" w:hAnsi="Calibri"/>
        </w:rPr>
      </w:pPr>
    </w:p>
    <w:p>
      <w:pPr>
        <w:pStyle w:val="style179"/>
        <w:rPr>
          <w:rFonts w:ascii="Calibri" w:hAnsi="Calibri"/>
        </w:rPr>
      </w:pPr>
    </w:p>
    <w:p>
      <w:pPr>
        <w:pStyle w:val="style0"/>
        <w:rPr>
          <w:rFonts w:ascii="Calibri" w:hAnsi="Calibri"/>
          <w:b/>
        </w:rPr>
      </w:pPr>
    </w:p>
    <w:p>
      <w:pPr>
        <w:pStyle w:val="style179"/>
        <w:numPr>
          <w:ilvl w:val="0"/>
          <w:numId w:val="11"/>
        </w:numPr>
        <w:rPr>
          <w:rFonts w:ascii="Calibri" w:hAnsi="Calibri"/>
          <w:b/>
        </w:rPr>
      </w:pPr>
      <w:r>
        <w:rPr>
          <w:b/>
        </w:rPr>
        <w:t>What are the commitments that Metro has and</w:t>
      </w:r>
      <w:r>
        <w:rPr>
          <w:b/>
        </w:rPr>
        <w:t xml:space="preserve"> which is also considered a liability?</w:t>
      </w:r>
    </w:p>
    <w:p>
      <w:pPr>
        <w:pStyle w:val="style179"/>
        <w:rPr>
          <w:rFonts w:ascii="Calibri" w:hAnsi="Calibri"/>
        </w:rPr>
      </w:pPr>
      <w:r>
        <w:t>The Commitments that Metro had that may also be included as a liabili</w:t>
      </w:r>
      <w:r>
        <w:t>ty include a lease commitments.</w:t>
      </w:r>
    </w:p>
    <w:p>
      <w:pPr>
        <w:pStyle w:val="style0"/>
        <w:rPr>
          <w:rFonts w:ascii="Calibri" w:hAnsi="Calibri"/>
          <w:b/>
        </w:rPr>
      </w:pPr>
    </w:p>
    <w:p>
      <w:pPr>
        <w:pStyle w:val="style179"/>
        <w:numPr>
          <w:ilvl w:val="0"/>
          <w:numId w:val="11"/>
        </w:numPr>
        <w:rPr>
          <w:rFonts w:ascii="Calibri" w:hAnsi="Calibri"/>
          <w:b/>
        </w:rPr>
      </w:pPr>
      <w:r>
        <w:rPr>
          <w:rFonts w:ascii="Calibri" w:hAnsi="Calibri"/>
          <w:b/>
        </w:rPr>
        <w:t xml:space="preserve">What contingencies and guarantees is Metro exposed to and are they liabilities? </w:t>
      </w:r>
    </w:p>
    <w:p>
      <w:pPr>
        <w:pStyle w:val="style0"/>
        <w:autoSpaceDE w:val="false"/>
        <w:autoSpaceDN w:val="false"/>
        <w:adjustRightInd w:val="false"/>
        <w:rPr>
          <w:rFonts w:ascii="Calibri" w:hAnsi="Calibri"/>
          <w:b/>
          <w:color w:val="ff0000"/>
        </w:rPr>
      </w:pPr>
    </w:p>
    <w:p>
      <w:pPr>
        <w:pStyle w:val="style0"/>
        <w:ind w:left="720"/>
        <w:rPr>
          <w:rFonts w:ascii="Calibri" w:hAnsi="Calibri"/>
        </w:rPr>
      </w:pPr>
      <w:r>
        <w:rPr>
          <w:rFonts w:ascii="Calibri" w:hAnsi="Calibri"/>
        </w:rPr>
        <w:t>The contingencies that the company is exposed to include loan receivables which exposes the company to credit risk.</w:t>
      </w:r>
    </w:p>
    <w:p>
      <w:pPr>
        <w:pStyle w:val="style0"/>
        <w:rPr>
          <w:rFonts w:ascii="Calibri" w:hAnsi="Calibri"/>
          <w:b/>
        </w:rPr>
      </w:pPr>
      <w:r>
        <w:rPr>
          <w:rFonts w:ascii="Calibri" w:hAnsi="Calibri"/>
          <w:b/>
        </w:rPr>
        <w:t>Part II:</w:t>
      </w:r>
    </w:p>
    <w:p>
      <w:pPr>
        <w:pStyle w:val="style0"/>
        <w:rPr>
          <w:rFonts w:ascii="Calibri" w:hAnsi="Calibri"/>
        </w:rPr>
      </w:pPr>
    </w:p>
    <w:p>
      <w:pPr>
        <w:pStyle w:val="style0"/>
        <w:rPr/>
      </w:pPr>
    </w:p>
    <w:p>
      <w:pPr>
        <w:pStyle w:val="style179"/>
        <w:numPr>
          <w:ilvl w:val="0"/>
          <w:numId w:val="21"/>
        </w:numPr>
        <w:rPr/>
      </w:pPr>
      <w:r>
        <w:t xml:space="preserve">You are provided the following information about two companies, </w:t>
      </w:r>
      <w:r>
        <w:t>Naicam</w:t>
      </w:r>
      <w:r>
        <w:t xml:space="preserve"> Ltd. and Riverton Inc.</w:t>
      </w:r>
    </w:p>
    <w:p>
      <w:pPr>
        <w:pStyle w:val="style0"/>
        <w:rPr/>
      </w:pPr>
      <w:r>
        <w:t> </w:t>
      </w:r>
    </w:p>
    <w:p>
      <w:pPr>
        <w:pStyle w:val="style0"/>
        <w:rPr/>
      </w:pPr>
      <w:r>
        <w:rPr>
          <w:noProof/>
          <w:lang w:val="en-US"/>
        </w:rPr>
        <w:drawing>
          <wp:inline distL="0" distT="0" distB="0" distR="0">
            <wp:extent cx="4562475" cy="1343025"/>
            <wp:effectExtent l="0" t="0" r="9525"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562475" cy="1343025"/>
                    </a:xfrm>
                    <a:prstGeom prst="rect"/>
                    <a:ln>
                      <a:noFill/>
                    </a:ln>
                  </pic:spPr>
                </pic:pic>
              </a:graphicData>
            </a:graphic>
          </wp:inline>
        </w:drawing>
      </w:r>
    </w:p>
    <w:p>
      <w:pPr>
        <w:pStyle w:val="style0"/>
        <w:rPr/>
      </w:pPr>
    </w:p>
    <w:p>
      <w:pPr>
        <w:pStyle w:val="style0"/>
        <w:ind w:firstLine="360"/>
        <w:rPr>
          <w:b/>
        </w:rPr>
      </w:pPr>
      <w:r>
        <w:rPr>
          <w:b/>
        </w:rPr>
        <w:t>Required:</w:t>
      </w:r>
    </w:p>
    <w:p>
      <w:pPr>
        <w:pStyle w:val="style0"/>
        <w:rPr/>
      </w:pPr>
    </w:p>
    <w:p>
      <w:pPr>
        <w:pStyle w:val="style179"/>
        <w:numPr>
          <w:ilvl w:val="0"/>
          <w:numId w:val="19"/>
        </w:numPr>
        <w:rPr/>
      </w:pPr>
      <w:r>
        <w:t>Calculate the debt-to-equity ratio and the interest coverage ratio for each company.</w:t>
      </w:r>
    </w:p>
    <w:p>
      <w:pPr>
        <w:pStyle w:val="style179"/>
        <w:rPr/>
      </w:pPr>
      <w:r>
        <w:t>Debt to equity ratio</w:t>
      </w:r>
      <w:r>
        <w:t>=  Total</w:t>
      </w:r>
      <w:r>
        <w:t xml:space="preserve"> debt/Equity</w:t>
      </w:r>
    </w:p>
    <w:p>
      <w:pPr>
        <w:pStyle w:val="style179"/>
        <w:rPr/>
      </w:pPr>
      <w:r>
        <w:t>Naicam</w:t>
      </w:r>
      <w:r>
        <w:t>=   1950000/808000=2.41</w:t>
      </w:r>
    </w:p>
    <w:p>
      <w:pPr>
        <w:pStyle w:val="style179"/>
        <w:rPr/>
      </w:pPr>
      <w:r>
        <w:t>Riverton Inc. =4875000/3875000 =1.26</w:t>
      </w:r>
    </w:p>
    <w:p>
      <w:pPr>
        <w:pStyle w:val="style179"/>
        <w:rPr/>
      </w:pPr>
      <w:r>
        <w:t xml:space="preserve">Riverton is much better in terms of </w:t>
      </w:r>
      <w:r>
        <w:t>long-term</w:t>
      </w:r>
      <w:r>
        <w:t xml:space="preserve"> investment since it has more assets, and less liability. The debt to equity </w:t>
      </w:r>
      <w:r>
        <w:t>ratio</w:t>
      </w:r>
      <w:r>
        <w:t xml:space="preserve"> indicate </w:t>
      </w:r>
      <w:r>
        <w:t>that both firms have much of their operations financed through debt. However, Riverton is much safer since the proportion financed through debt is not much and the firm can still redeem its image by reducing the debt proportion.</w:t>
      </w:r>
    </w:p>
    <w:p>
      <w:pPr>
        <w:pStyle w:val="style179"/>
        <w:numPr>
          <w:ilvl w:val="0"/>
          <w:numId w:val="19"/>
        </w:numPr>
        <w:rPr>
          <w:b/>
        </w:rPr>
      </w:pPr>
      <w:r>
        <w:rPr>
          <w:b/>
        </w:rPr>
        <w:t>Which company do you think would be considered a safer investment by a long-term lender? E</w:t>
      </w:r>
      <w:bookmarkStart w:id="0" w:name="_GoBack"/>
      <w:bookmarkEnd w:id="0"/>
      <w:r>
        <w:rPr>
          <w:b/>
        </w:rPr>
        <w:t>xplain.</w:t>
      </w:r>
    </w:p>
    <w:p>
      <w:pPr>
        <w:pStyle w:val="style179"/>
        <w:rPr/>
      </w:pPr>
      <w:r>
        <w:t>Riverton is much better in terms of long-term investment since it has more assets, and less liability. The debt to equity ratio indicate that both firms have much of their operations financed through debt. However, Riverton is much safer since the proportion financed through debt is not much and the firm can still redeem its image by reducing the debt proportion</w:t>
      </w:r>
    </w:p>
    <w:p>
      <w:pPr>
        <w:pStyle w:val="style179"/>
        <w:rPr/>
      </w:pPr>
    </w:p>
    <w:p>
      <w:pPr>
        <w:pStyle w:val="style0"/>
        <w:rPr>
          <w:rFonts w:ascii="Calibri" w:hAnsi="Calibri"/>
          <w:b/>
          <w:color w:val="ff0000"/>
          <w:lang w:val="en-US"/>
        </w:rPr>
      </w:pPr>
    </w:p>
    <w:p>
      <w:pPr>
        <w:pStyle w:val="style179"/>
        <w:numPr>
          <w:ilvl w:val="0"/>
          <w:numId w:val="21"/>
        </w:numPr>
        <w:ind w:left="360"/>
        <w:rPr>
          <w:rFonts w:ascii="Calibri" w:hAnsi="Calibri"/>
          <w:b/>
        </w:rPr>
      </w:pPr>
      <w:r>
        <w:rPr>
          <w:rFonts w:ascii="Calibri" w:hAnsi="Calibri"/>
          <w:b/>
        </w:rPr>
        <w:t xml:space="preserve">What are bond discounts and premiums? Why </w:t>
      </w:r>
      <w:r>
        <w:rPr>
          <w:rFonts w:ascii="Calibri" w:hAnsi="Calibri"/>
          <w:b/>
        </w:rPr>
        <w:t>bonds are</w:t>
      </w:r>
      <w:r>
        <w:rPr>
          <w:rFonts w:ascii="Calibri" w:hAnsi="Calibri"/>
          <w:b/>
        </w:rPr>
        <w:t xml:space="preserve"> sometimes sold at a discount or premium?</w:t>
      </w:r>
    </w:p>
    <w:p>
      <w:pPr>
        <w:pStyle w:val="style179"/>
        <w:ind w:left="360"/>
        <w:rPr>
          <w:rFonts w:ascii="Calibri" w:hAnsi="Calibri"/>
        </w:rPr>
      </w:pPr>
      <w:r>
        <w:rPr>
          <w:rFonts w:ascii="Calibri" w:hAnsi="Calibri"/>
        </w:rPr>
        <w:t xml:space="preserve">Bond discounts are the amounts </w:t>
      </w:r>
      <w:r>
        <w:rPr>
          <w:rFonts w:ascii="Calibri" w:hAnsi="Calibri"/>
        </w:rPr>
        <w:t xml:space="preserve">through which the principal amount due at the maturity date is higher than the market price of the bond. Bond premiums are the types of bonds that trade on the value that is beyond the par value. Whenever the bond trades at a premium, it offers a premium that is higher than the interest rate since the investors need a higher yield and have no problem paying for it. </w:t>
      </w:r>
    </w:p>
    <w:p>
      <w:pPr>
        <w:pStyle w:val="style0"/>
        <w:rPr>
          <w:rFonts w:ascii="Calibri" w:hAnsi="Calibri"/>
        </w:rPr>
      </w:pPr>
    </w:p>
    <w:p>
      <w:pPr>
        <w:pStyle w:val="style179"/>
        <w:numPr>
          <w:ilvl w:val="0"/>
          <w:numId w:val="21"/>
        </w:numPr>
        <w:ind w:left="360"/>
        <w:rPr>
          <w:rFonts w:ascii="Calibri" w:hAnsi="Calibri"/>
          <w:b/>
        </w:rPr>
      </w:pPr>
      <w:r>
        <w:rPr>
          <w:rFonts w:ascii="Calibri" w:hAnsi="Calibri"/>
          <w:b/>
        </w:rPr>
        <w:t>What are covenants and why are they restrictive? Why are covenants sometimes included as part of debt agreements? How does a borrower benefit from a restrictive covenant? Why would a borrower prefer to avoid having restrictive covenants in loan agreements, assuming no changes in the other terms of the loan?</w:t>
      </w:r>
    </w:p>
    <w:p>
      <w:pPr>
        <w:pStyle w:val="style0"/>
        <w:rPr/>
      </w:pPr>
      <w:r>
        <w:t xml:space="preserve">A covenant is a promise dealing with the financial promises. The company may enter into a covenant as part of an agreement with the lenders. In finance the covenants relate to the financial contracting such as loan documents which states that limits of which the borrower can access the loan amount. The lenders need covenants to protect themselves from the borrowers defaulting on their payment. The covenants are restrictive to ensure that the agreement made binds the parties involved. </w:t>
      </w:r>
      <w:r>
        <w:t xml:space="preserve">I is for the reason that they are used as part agreements by the lenders. The borrowers benefit from the restrictive covenants through the interest cost. The covenants attract low interest cost. </w:t>
      </w:r>
      <w:r>
        <w:t xml:space="preserve">However, the borrowers avoid the covenants since they have difficult terms when it comes to repayment. </w:t>
      </w:r>
    </w:p>
    <w:p>
      <w:pPr>
        <w:pStyle w:val="style0"/>
        <w:rPr/>
      </w:pPr>
    </w:p>
    <w:p>
      <w:pPr>
        <w:pStyle w:val="style179"/>
        <w:numPr>
          <w:ilvl w:val="0"/>
          <w:numId w:val="21"/>
        </w:numPr>
        <w:ind w:left="360"/>
        <w:rPr>
          <w:rFonts w:ascii="Calibri" w:hAnsi="Calibri"/>
        </w:rPr>
      </w:pPr>
      <w:r>
        <w:rPr>
          <w:rFonts w:ascii="Calibri" w:hAnsi="Calibri"/>
        </w:rPr>
        <w:t xml:space="preserve">On January 1, 2018, </w:t>
      </w:r>
      <w:r>
        <w:rPr>
          <w:rFonts w:ascii="Calibri" w:hAnsi="Calibri"/>
        </w:rPr>
        <w:t>GamePro</w:t>
      </w:r>
      <w:r>
        <w:rPr>
          <w:rFonts w:ascii="Calibri" w:hAnsi="Calibri"/>
        </w:rPr>
        <w:t xml:space="preserve">, issued </w:t>
      </w:r>
      <w:r>
        <w:rPr>
          <w:rFonts w:ascii="Calibri" w:hAnsi="Calibri"/>
        </w:rPr>
        <w:t xml:space="preserve">a </w:t>
      </w:r>
      <w:r>
        <w:rPr>
          <w:rFonts w:ascii="Calibri" w:hAnsi="Calibri"/>
        </w:rPr>
        <w:t>$1,</w:t>
      </w:r>
      <w:r>
        <w:rPr>
          <w:rFonts w:ascii="Calibri" w:hAnsi="Calibri"/>
        </w:rPr>
        <w:t>000,000 face value, 5-year bond</w:t>
      </w:r>
      <w:r>
        <w:rPr>
          <w:rFonts w:ascii="Calibri" w:hAnsi="Calibri"/>
        </w:rPr>
        <w:t xml:space="preserve"> with a stated coupon rate of 5% at an effective rate </w:t>
      </w:r>
      <w:r>
        <w:rPr>
          <w:rFonts w:ascii="Calibri" w:hAnsi="Calibri"/>
        </w:rPr>
        <w:t xml:space="preserve">(Yield to Maturity) </w:t>
      </w:r>
      <w:r>
        <w:rPr>
          <w:rFonts w:ascii="Calibri" w:hAnsi="Calibri"/>
        </w:rPr>
        <w:t>of 4%</w:t>
      </w:r>
      <w:r>
        <w:rPr>
          <w:rFonts w:ascii="Calibri" w:hAnsi="Calibri"/>
        </w:rPr>
        <w:t xml:space="preserve">. The bond was sold for </w:t>
      </w:r>
      <w:r>
        <w:rPr>
          <w:rFonts w:ascii="Calibri" w:hAnsi="Calibri"/>
        </w:rPr>
        <w:t>$1,044,913. Interest is paid semi-annually o</w:t>
      </w:r>
      <w:r>
        <w:rPr>
          <w:rFonts w:ascii="Calibri" w:hAnsi="Calibri"/>
        </w:rPr>
        <w:t xml:space="preserve">n July 1 and December 31. </w:t>
      </w:r>
      <w:r>
        <w:rPr>
          <w:rFonts w:ascii="Calibri" w:hAnsi="Calibri"/>
        </w:rPr>
        <w:t>GamePro</w:t>
      </w:r>
      <w:r>
        <w:rPr>
          <w:rFonts w:ascii="Calibri" w:hAnsi="Calibri"/>
        </w:rPr>
        <w:t xml:space="preserve"> uses the effective-interest method of amortization.</w:t>
      </w:r>
    </w:p>
    <w:p>
      <w:pPr>
        <w:pStyle w:val="style0"/>
        <w:rPr>
          <w:rFonts w:ascii="Calibri" w:hAnsi="Calibri"/>
        </w:rPr>
      </w:pPr>
    </w:p>
    <w:p>
      <w:pPr>
        <w:pStyle w:val="style0"/>
        <w:rPr>
          <w:rFonts w:ascii="Calibri" w:hAnsi="Calibri"/>
        </w:rPr>
      </w:pPr>
      <w:r>
        <w:rPr>
          <w:rFonts w:ascii="Calibri" w:hAnsi="Calibri"/>
        </w:rPr>
        <w:t xml:space="preserve">Prepare the amortization table </w:t>
      </w:r>
      <w:r>
        <w:rPr>
          <w:rFonts w:ascii="Calibri" w:hAnsi="Calibri"/>
        </w:rPr>
        <w:t>for the life of the bond.</w:t>
      </w:r>
    </w:p>
    <w:p>
      <w:pPr>
        <w:pStyle w:val="style0"/>
        <w:rPr>
          <w:rFonts w:ascii="Calibri" w:hAnsi="Calibri"/>
        </w:rPr>
      </w:pPr>
      <w:r>
        <w:rPr>
          <w:rFonts w:ascii="Calibri" w:hAnsi="Calibri"/>
        </w:rPr>
        <w:t>(Hint: the initial purchase and 1</w:t>
      </w:r>
      <w:r>
        <w:rPr>
          <w:rFonts w:ascii="Calibri" w:hAnsi="Calibri"/>
          <w:vertAlign w:val="superscript"/>
        </w:rPr>
        <w:t>st</w:t>
      </w:r>
      <w:r>
        <w:rPr>
          <w:rFonts w:ascii="Calibri" w:hAnsi="Calibri"/>
        </w:rPr>
        <w:t xml:space="preserve"> period interest payment has been provided)</w:t>
      </w:r>
    </w:p>
    <w:p>
      <w:pPr>
        <w:pStyle w:val="style0"/>
        <w:rPr>
          <w:rFonts w:ascii="Calibri" w:hAnsi="Calibri"/>
        </w:rPr>
      </w:pPr>
    </w:p>
    <w:tbl>
      <w:tblPr>
        <w:tblW w:w="8000" w:type="dxa"/>
        <w:tblLook w:val="04A0" w:firstRow="1" w:lastRow="0" w:firstColumn="1" w:lastColumn="0" w:noHBand="0" w:noVBand="1"/>
      </w:tblPr>
      <w:tblGrid>
        <w:gridCol w:w="960"/>
        <w:gridCol w:w="960"/>
        <w:gridCol w:w="997"/>
        <w:gridCol w:w="1003"/>
        <w:gridCol w:w="966"/>
        <w:gridCol w:w="1044"/>
        <w:gridCol w:w="1120"/>
        <w:gridCol w:w="1120"/>
      </w:tblGrid>
      <w:tr>
        <w:trPr>
          <w:trHeight w:val="300" w:hRule="atLeast"/>
        </w:trPr>
        <w:tc>
          <w:tcPr>
            <w:tcW w:w="960" w:type="dxa"/>
            <w:tcBorders>
              <w:top w:val="nil"/>
              <w:left w:val="nil"/>
              <w:bottom w:val="nil"/>
              <w:right w:val="nil"/>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Interest</w:t>
            </w:r>
          </w:p>
        </w:tc>
        <w:tc>
          <w:tcPr>
            <w:tcW w:w="960" w:type="dxa"/>
            <w:tcBorders>
              <w:top w:val="nil"/>
              <w:left w:val="nil"/>
              <w:bottom w:val="nil"/>
              <w:right w:val="nil"/>
            </w:tcBorders>
            <w:shd w:val="clear" w:color="auto" w:fill="auto"/>
            <w:noWrap/>
            <w:vAlign w:val="bottom"/>
            <w:hideMark/>
          </w:tcPr>
          <w:p>
            <w:pPr>
              <w:pStyle w:val="style0"/>
              <w:rPr>
                <w:rFonts w:ascii="Calibri" w:cs="Calibri" w:hAnsi="Calibri"/>
                <w:color w:val="000000"/>
                <w:sz w:val="22"/>
                <w:szCs w:val="22"/>
              </w:rPr>
            </w:pP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5%</w:t>
            </w: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r>
        <w:tblPrEx/>
        <w:trPr>
          <w:trHeight w:val="300" w:hRule="atLeast"/>
        </w:trPr>
        <w:tc>
          <w:tcPr>
            <w:tcW w:w="1920" w:type="dxa"/>
            <w:gridSpan w:val="2"/>
            <w:tcBorders>
              <w:top w:val="nil"/>
              <w:left w:val="nil"/>
              <w:bottom w:val="nil"/>
              <w:right w:val="nil"/>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Loan amount</w:t>
            </w: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1000000</w:t>
            </w: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Coupon</w:t>
            </w:r>
          </w:p>
        </w:tc>
        <w:tc>
          <w:tcPr>
            <w:tcW w:w="960" w:type="dxa"/>
            <w:tcBorders>
              <w:top w:val="nil"/>
              <w:left w:val="nil"/>
              <w:bottom w:val="nil"/>
              <w:right w:val="nil"/>
            </w:tcBorders>
            <w:shd w:val="clear" w:color="auto" w:fill="auto"/>
            <w:noWrap/>
            <w:vAlign w:val="bottom"/>
            <w:hideMark/>
          </w:tcPr>
          <w:p>
            <w:pPr>
              <w:pStyle w:val="style0"/>
              <w:rPr>
                <w:rFonts w:ascii="Calibri" w:cs="Calibri" w:hAnsi="Calibri"/>
                <w:color w:val="000000"/>
                <w:sz w:val="22"/>
                <w:szCs w:val="22"/>
              </w:rPr>
            </w:pP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4%</w:t>
            </w:r>
          </w:p>
        </w:tc>
        <w:tc>
          <w:tcPr>
            <w:tcW w:w="960" w:type="dxa"/>
            <w:tcBorders>
              <w:top w:val="nil"/>
              <w:left w:val="nil"/>
              <w:bottom w:val="nil"/>
              <w:right w:val="nil"/>
            </w:tcBorders>
            <w:shd w:val="clear" w:color="auto" w:fill="auto"/>
            <w:noWrap/>
            <w:vAlign w:val="bottom"/>
            <w:hideMark/>
          </w:tcPr>
          <w:p>
            <w:pPr>
              <w:pStyle w:val="style0"/>
              <w:jc w:val="right"/>
              <w:rPr>
                <w:rFonts w:ascii="Calibri" w:cs="Calibri" w:hAnsi="Calibri"/>
                <w:color w:val="000000"/>
                <w:sz w:val="22"/>
                <w:szCs w:val="22"/>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r>
        <w:tblPrEx/>
        <w:trPr>
          <w:trHeight w:val="315" w:hRule="atLeast"/>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Semi Annual</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color w:val="000000"/>
                <w:sz w:val="20"/>
                <w:szCs w:val="20"/>
              </w:rPr>
            </w:pPr>
            <w:r>
              <w:rPr>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Coupon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Interest</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Premium Amort</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Carrying</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u w:val="single"/>
              </w:rPr>
            </w:pPr>
            <w:r>
              <w:rPr>
                <w:rFonts w:ascii="Palatino Linotype" w:cs="Calibri" w:hAnsi="Palatino Linotype"/>
                <w:color w:val="000000"/>
                <w:sz w:val="20"/>
                <w:szCs w:val="20"/>
                <w:u w:val="single"/>
              </w:rPr>
              <w:t xml:space="preserve">Date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u w:val="single"/>
              </w:rPr>
            </w:pPr>
            <w:r>
              <w:rPr>
                <w:rFonts w:ascii="Palatino Linotype" w:cs="Calibri" w:hAnsi="Palatino Linotype"/>
                <w:color w:val="000000"/>
                <w:sz w:val="20"/>
                <w:szCs w:val="20"/>
                <w:u w:val="single"/>
              </w:rPr>
              <w:t>Payment</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u w:val="single"/>
              </w:rPr>
            </w:pPr>
            <w:r>
              <w:rPr>
                <w:rFonts w:ascii="Palatino Linotype" w:cs="Calibri" w:hAnsi="Palatino Linotype"/>
                <w:color w:val="000000"/>
                <w:sz w:val="20"/>
                <w:szCs w:val="20"/>
                <w:u w:val="single"/>
              </w:rPr>
              <w:t>Expense</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u w:val="single"/>
              </w:rPr>
            </w:pPr>
            <w:r>
              <w:rPr>
                <w:rFonts w:ascii="Palatino Linotype" w:cs="Calibri" w:hAnsi="Palatino Linotype"/>
                <w:color w:val="000000"/>
                <w:sz w:val="20"/>
                <w:szCs w:val="20"/>
                <w:u w:val="single"/>
              </w:rPr>
              <w:t>Amount</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rPr>
            </w:pPr>
            <w:r>
              <w:rPr>
                <w:rFonts w:ascii="Palatino Linotype" w:cs="Calibri" w:hAnsi="Palatino Linotype"/>
                <w:color w:val="000000"/>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rPr>
                <w:rFonts w:ascii="Palatino Linotype" w:cs="Calibri" w:hAnsi="Palatino Linotype"/>
                <w:color w:val="000000"/>
                <w:sz w:val="20"/>
                <w:szCs w:val="20"/>
                <w:u w:val="single"/>
              </w:rPr>
            </w:pPr>
            <w:r>
              <w:rPr>
                <w:rFonts w:ascii="Palatino Linotype" w:cs="Calibri" w:hAnsi="Palatino Linotype"/>
                <w:color w:val="000000"/>
                <w:sz w:val="20"/>
                <w:szCs w:val="20"/>
                <w:u w:val="single"/>
              </w:rPr>
              <w:t>Amount</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Jan-01 2018</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color w:val="000000"/>
                <w:sz w:val="20"/>
                <w:szCs w:val="20"/>
              </w:rPr>
            </w:pPr>
            <w:r>
              <w:rPr>
                <w:color w:val="000000"/>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 </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1,044,913</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Jul-01 2018</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20898.26</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4101.74</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1040811.3</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1,040,811</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Dec-18</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20816.22</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4183.78</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1036627.2</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1,036,627</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Jul-19</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20732.54</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4267.46</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1032359.8</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1,032,360</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Dec-19</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20647.20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4352.80</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1028007</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1,028,007</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Jul-20</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20560.14</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4439.86</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1023567.1</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1,023,567</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Dec-20</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20471.34</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4528.66</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1019038.4</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1,019,038</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Jul-21</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20380.77</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4619.23</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1014419.2</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1,014,419</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Dec-21</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20288.38</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4711.62</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1009707.6</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1,009,708</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Jul-22</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20194.15</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4805.85</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1004901.7</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1,004,902</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Dec-20</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20098.03</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4901.97</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999999.78</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1,000,000</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Jan-21</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25000.00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20000.00</w:t>
            </w:r>
          </w:p>
        </w:tc>
        <w:tc>
          <w:tcPr>
            <w:tcW w:w="96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5000.00</w:t>
            </w:r>
          </w:p>
        </w:tc>
        <w:tc>
          <w:tcPr>
            <w:tcW w:w="1120" w:type="dxa"/>
            <w:tcBorders>
              <w:top w:val="nil"/>
              <w:left w:val="nil"/>
              <w:bottom w:val="single" w:sz="4" w:space="0" w:color="auto"/>
              <w:right w:val="single" w:sz="4" w:space="0" w:color="auto"/>
            </w:tcBorders>
            <w:shd w:val="clear" w:color="auto" w:fill="auto"/>
            <w:noWrap/>
            <w:vAlign w:val="center"/>
            <w:hideMark/>
          </w:tcPr>
          <w:p>
            <w:pPr>
              <w:pStyle w:val="style0"/>
              <w:jc w:val="right"/>
              <w:rPr>
                <w:rFonts w:ascii="Palatino Linotype" w:cs="Calibri" w:hAnsi="Palatino Linotype"/>
                <w:color w:val="000000"/>
                <w:sz w:val="20"/>
                <w:szCs w:val="20"/>
              </w:rPr>
            </w:pPr>
            <w:r>
              <w:rPr>
                <w:rFonts w:ascii="Palatino Linotype" w:cs="Calibri" w:hAnsi="Palatino Linotype"/>
                <w:color w:val="000000"/>
                <w:sz w:val="20"/>
                <w:szCs w:val="20"/>
              </w:rPr>
              <w:t>994999.78</w:t>
            </w:r>
          </w:p>
        </w:tc>
        <w:tc>
          <w:tcPr>
            <w:tcW w:w="1120" w:type="dxa"/>
            <w:tcBorders>
              <w:top w:val="nil"/>
              <w:left w:val="nil"/>
              <w:bottom w:val="single" w:sz="4" w:space="0" w:color="auto"/>
              <w:right w:val="single" w:sz="4" w:space="0" w:color="auto"/>
            </w:tcBorders>
            <w:shd w:val="clear" w:color="auto" w:fill="auto"/>
            <w:noWrap/>
            <w:vAlign w:val="bottom"/>
            <w:hideMark/>
          </w:tcPr>
          <w:p>
            <w:pPr>
              <w:pStyle w:val="style0"/>
              <w:jc w:val="right"/>
              <w:rPr>
                <w:rFonts w:ascii="Calibri" w:cs="Calibri" w:hAnsi="Calibri"/>
                <w:color w:val="000000"/>
                <w:sz w:val="22"/>
                <w:szCs w:val="22"/>
              </w:rPr>
            </w:pPr>
            <w:r>
              <w:rPr>
                <w:rFonts w:ascii="Calibri" w:cs="Calibri" w:hAnsi="Calibri"/>
                <w:color w:val="000000"/>
                <w:sz w:val="22"/>
                <w:szCs w:val="22"/>
              </w:rPr>
              <w:t>995,000</w:t>
            </w:r>
          </w:p>
        </w:tc>
      </w:tr>
      <w:tr>
        <w:tblPrEx/>
        <w:trPr>
          <w:trHeight w:val="300" w:hRule="atLeast"/>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pPr>
              <w:pStyle w:val="style0"/>
              <w:rPr>
                <w:rFonts w:ascii="Calibri" w:cs="Calibri" w:hAnsi="Calibri"/>
                <w:color w:val="000000"/>
                <w:sz w:val="22"/>
                <w:szCs w:val="22"/>
              </w:rPr>
            </w:pPr>
            <w:r>
              <w:rPr>
                <w:rFonts w:ascii="Calibri" w:cs="Calibri" w:hAnsi="Calibri"/>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pPr>
              <w:pStyle w:val="style0"/>
              <w:rPr>
                <w:rFonts w:ascii="Calibri" w:cs="Calibri" w:hAnsi="Calibri"/>
                <w:color w:val="ff0000"/>
                <w:sz w:val="22"/>
                <w:szCs w:val="22"/>
              </w:rPr>
            </w:pPr>
            <w:r>
              <w:rPr>
                <w:rFonts w:ascii="Calibri" w:cs="Calibri" w:hAnsi="Calibri"/>
                <w:color w:val="ff0000"/>
                <w:sz w:val="22"/>
                <w:szCs w:val="22"/>
              </w:rPr>
              <w:t> </w:t>
            </w:r>
          </w:p>
        </w:tc>
        <w:tc>
          <w:tcPr>
            <w:tcW w:w="960" w:type="dxa"/>
            <w:tcBorders>
              <w:top w:val="nil"/>
              <w:left w:val="nil"/>
              <w:bottom w:val="nil"/>
              <w:right w:val="nil"/>
            </w:tcBorders>
            <w:shd w:val="clear" w:color="auto" w:fill="auto"/>
            <w:noWrap/>
            <w:vAlign w:val="bottom"/>
            <w:hideMark/>
          </w:tcPr>
          <w:p>
            <w:pPr>
              <w:pStyle w:val="style0"/>
              <w:rPr>
                <w:rFonts w:ascii="Calibri" w:cs="Calibri" w:hAnsi="Calibri"/>
                <w:color w:val="ff0000"/>
                <w:sz w:val="22"/>
                <w:szCs w:val="22"/>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r>
        <w:tblPrEx/>
        <w:trPr>
          <w:trHeight w:val="300" w:hRule="atLeast"/>
        </w:trPr>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96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c>
          <w:tcPr>
            <w:tcW w:w="1120" w:type="dxa"/>
            <w:tcBorders>
              <w:top w:val="nil"/>
              <w:left w:val="nil"/>
              <w:bottom w:val="nil"/>
              <w:right w:val="nil"/>
            </w:tcBorders>
            <w:shd w:val="clear" w:color="auto" w:fill="auto"/>
            <w:noWrap/>
            <w:vAlign w:val="bottom"/>
            <w:hideMark/>
          </w:tcPr>
          <w:p>
            <w:pPr>
              <w:pStyle w:val="style0"/>
              <w:rPr>
                <w:sz w:val="20"/>
                <w:szCs w:val="20"/>
              </w:rPr>
            </w:pPr>
          </w:p>
        </w:tc>
      </w:tr>
    </w:tbl>
    <w:p>
      <w:pPr>
        <w:pStyle w:val="style0"/>
        <w:rPr>
          <w:rFonts w:ascii="Calibri" w:hAnsi="Calibri"/>
        </w:rPr>
      </w:pPr>
    </w:p>
    <w:p>
      <w:pPr>
        <w:pStyle w:val="style0"/>
        <w:rPr>
          <w:rFonts w:ascii="Calibri" w:hAnsi="Calibri"/>
        </w:rPr>
      </w:pPr>
    </w:p>
    <w:p>
      <w:pPr>
        <w:pStyle w:val="style0"/>
        <w:rPr>
          <w:rFonts w:ascii="Calibri" w:hAnsi="Calibri"/>
        </w:rPr>
      </w:pPr>
    </w:p>
    <w:p>
      <w:pPr>
        <w:pStyle w:val="style179"/>
        <w:numPr>
          <w:ilvl w:val="0"/>
          <w:numId w:val="21"/>
        </w:numPr>
        <w:ind w:left="360"/>
        <w:rPr>
          <w:rFonts w:ascii="Calibri" w:hAnsi="Calibri"/>
        </w:rPr>
      </w:pPr>
      <w:r>
        <w:rPr>
          <w:rFonts w:ascii="Calibri" w:hAnsi="Calibri"/>
        </w:rPr>
        <w:t>On July 15, 2018, Spring</w:t>
      </w:r>
      <w:r>
        <w:rPr>
          <w:rFonts w:ascii="Calibri" w:hAnsi="Calibri"/>
        </w:rPr>
        <w:t xml:space="preserve"> Inc. will be making a $40,000,000 bond issue to public investors. The bond matures in seven years on July 14, 2025, has a coupon rate of 4 percent, and pays interest annually on July 14. Determine how much S</w:t>
      </w:r>
      <w:r>
        <w:rPr>
          <w:rFonts w:ascii="Calibri" w:hAnsi="Calibri"/>
        </w:rPr>
        <w:t>pring</w:t>
      </w:r>
      <w:r>
        <w:rPr>
          <w:rFonts w:ascii="Calibri" w:hAnsi="Calibri"/>
        </w:rPr>
        <w:t xml:space="preserve"> will receive in proceeds from its bon</w:t>
      </w:r>
      <w:r>
        <w:rPr>
          <w:rFonts w:ascii="Calibri" w:hAnsi="Calibri"/>
        </w:rPr>
        <w:t>d if the effective interest (yield to maturity) rate</w:t>
      </w:r>
      <w:r>
        <w:rPr>
          <w:rFonts w:ascii="Calibri" w:hAnsi="Calibri"/>
        </w:rPr>
        <w:t xml:space="preserve"> when the bond is issued is</w:t>
      </w:r>
    </w:p>
    <w:p>
      <w:pPr>
        <w:pStyle w:val="style179"/>
        <w:rPr>
          <w:rFonts w:ascii="Calibri" w:hAnsi="Calibri"/>
        </w:rPr>
      </w:pPr>
    </w:p>
    <w:p>
      <w:pPr>
        <w:pStyle w:val="style179"/>
        <w:rPr>
          <w:rFonts w:ascii="Calibri" w:hAnsi="Calibri"/>
        </w:rPr>
      </w:pPr>
      <w:r>
        <w:rPr>
          <w:rFonts w:ascii="Calibri" w:hAnsi="Calibri"/>
        </w:rPr>
        <w:t>a) 3 percent</w:t>
      </w:r>
    </w:p>
    <w:p>
      <w:pPr>
        <w:pStyle w:val="style179"/>
        <w:rPr>
          <w:rFonts w:ascii="Calibri" w:hAnsi="Calibri"/>
        </w:rPr>
      </w:pPr>
      <w:r>
        <w:rPr>
          <w:rFonts w:ascii="Calibri" w:hAnsi="Calibri"/>
        </w:rPr>
        <w:t>b) 4 percent</w:t>
      </w:r>
    </w:p>
    <w:p>
      <w:pPr>
        <w:pStyle w:val="style179"/>
        <w:rPr>
          <w:rFonts w:ascii="Calibri" w:hAnsi="Calibri"/>
          <w:b/>
        </w:rPr>
      </w:pPr>
      <w:r>
        <w:rPr>
          <w:rFonts w:ascii="Calibri" w:hAnsi="Calibri"/>
          <w:b/>
        </w:rPr>
        <w:t>c) 5 percent</w:t>
      </w:r>
    </w:p>
    <w:p>
      <w:pPr>
        <w:pStyle w:val="style0"/>
        <w:rPr>
          <w:rFonts w:ascii="Calibri" w:hAnsi="Calibri"/>
        </w:rPr>
      </w:pPr>
    </w:p>
    <w:p>
      <w:pPr>
        <w:pStyle w:val="style0"/>
        <w:rPr>
          <w:rFonts w:ascii="Calibri" w:hAnsi="Calibri"/>
        </w:rPr>
      </w:pPr>
      <w:r>
        <w:rPr>
          <w:rFonts w:ascii="Calibri" w:hAnsi="Calibri"/>
        </w:rPr>
        <w:t>Hint: Here are some videos you can watch to help you out:</w:t>
      </w:r>
    </w:p>
    <w:p>
      <w:pPr>
        <w:pStyle w:val="style0"/>
        <w:rPr>
          <w:rFonts w:ascii="Calibri" w:hAnsi="Calibri"/>
        </w:rPr>
      </w:pPr>
      <w:r>
        <w:rPr/>
        <w:fldChar w:fldCharType="begin"/>
      </w:r>
      <w:r>
        <w:instrText xml:space="preserve"> HYPERLINK "https://www.youtube.com/watch?v=JZq0w7nJaTU" </w:instrText>
      </w:r>
      <w:r>
        <w:rPr/>
        <w:fldChar w:fldCharType="separate"/>
      </w:r>
      <w:r>
        <w:rPr>
          <w:rStyle w:val="style85"/>
          <w:rFonts w:ascii="Calibri" w:hAnsi="Calibri"/>
        </w:rPr>
        <w:t>https://www.youtube.com/watch?v=JZq0w7nJaTU</w:t>
      </w:r>
      <w:r>
        <w:rPr/>
        <w:fldChar w:fldCharType="end"/>
      </w:r>
    </w:p>
    <w:p>
      <w:pPr>
        <w:pStyle w:val="style0"/>
        <w:rPr>
          <w:rFonts w:ascii="Calibri" w:hAnsi="Calibri"/>
        </w:rPr>
      </w:pPr>
      <w:r>
        <w:rPr/>
        <w:fldChar w:fldCharType="begin"/>
      </w:r>
      <w:r>
        <w:instrText xml:space="preserve"> HYPERLINK "https://www.youtube.com/watch?v=eSH5CkVJDR8" </w:instrText>
      </w:r>
      <w:r>
        <w:rPr/>
        <w:fldChar w:fldCharType="separate"/>
      </w:r>
      <w:r>
        <w:rPr>
          <w:rStyle w:val="style85"/>
          <w:rFonts w:ascii="Calibri" w:hAnsi="Calibri"/>
        </w:rPr>
        <w:t>https://www.youtube.com/watch?v=eSH5CkVJDR8</w:t>
      </w:r>
      <w:r>
        <w:rPr/>
        <w:fldChar w:fldCharType="end"/>
      </w:r>
    </w:p>
    <w:p>
      <w:pPr>
        <w:pStyle w:val="style0"/>
        <w:rPr>
          <w:rFonts w:ascii="Calibri" w:hAnsi="Calibri"/>
        </w:rPr>
      </w:pPr>
    </w:p>
    <w:sectPr>
      <w:pgSz w:w="12240" w:h="15840" w:orient="portrait"/>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libri">
    <w:altName w:val="Calibri"/>
    <w:panose1 w:val="020f0502020002030204"/>
    <w:charset w:val="00"/>
    <w:family w:val="swiss"/>
    <w:pitch w:val="variable"/>
    <w:sig w:usb0="E0002AFF" w:usb1="C000247B" w:usb2="00000009" w:usb3="00000000" w:csb0="000001FF" w:csb1="00000000"/>
  </w:font>
  <w:font w:name="Palatino Linotype">
    <w:altName w:val="Palatino Linotype"/>
    <w:panose1 w:val="02040502050005030304"/>
    <w:charset w:val="00"/>
    <w:family w:val="roman"/>
    <w:pitch w:val="variable"/>
    <w:sig w:usb0="E0000287" w:usb1="40000013"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6E6B5B0"/>
    <w:lvl w:ilvl="0">
      <w:start w:val="1"/>
      <w:numFmt w:val="bullet"/>
      <w:lvlText w:val=""/>
      <w:lvlJc w:val="left"/>
      <w:pPr>
        <w:tabs>
          <w:tab w:val="left" w:leader="none" w:pos="720"/>
        </w:tabs>
        <w:ind w:left="720" w:hanging="360"/>
      </w:pPr>
      <w:rPr>
        <w:rFonts w:ascii="Symbol" w:hAnsi="Symbol" w:hint="default"/>
        <w:sz w:val="20"/>
      </w:rPr>
    </w:lvl>
    <w:lvl w:ilvl="1">
      <w:start w:val="1"/>
      <w:numFmt w:val="lowerLetter"/>
      <w:lvlText w:val="%2."/>
      <w:lvlJc w:val="left"/>
      <w:pPr>
        <w:tabs>
          <w:tab w:val="left" w:leader="none" w:pos="1440"/>
        </w:tabs>
        <w:ind w:left="1440" w:hanging="360"/>
      </w:p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533A6A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hybridMultilevel"/>
    <w:tmpl w:val="35B4AD56"/>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0000003"/>
    <w:multiLevelType w:val="hybridMultilevel"/>
    <w:tmpl w:val="E9EC80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B3509096"/>
    <w:lvl w:ilvl="0" w:tplc="04090001">
      <w:start w:val="1"/>
      <w:numFmt w:val="bullet"/>
      <w:lvlText w:val=""/>
      <w:lvlJc w:val="left"/>
      <w:pPr>
        <w:tabs>
          <w:tab w:val="left" w:leader="none" w:pos="1080"/>
        </w:tabs>
        <w:ind w:left="1080" w:hanging="360"/>
      </w:pPr>
      <w:rPr>
        <w:rFonts w:ascii="Symbol" w:hAnsi="Symbol" w:hint="default"/>
      </w:rPr>
    </w:lvl>
    <w:lvl w:ilvl="1" w:tplc="04090019">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5">
    <w:nsid w:val="00000005"/>
    <w:multiLevelType w:val="hybridMultilevel"/>
    <w:tmpl w:val="75189A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0000006"/>
    <w:multiLevelType w:val="hybridMultilevel"/>
    <w:tmpl w:val="EFDA3C1E"/>
    <w:lvl w:ilvl="0" w:tplc="10090013">
      <w:start w:val="1"/>
      <w:numFmt w:val="upperRoman"/>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00000007"/>
    <w:multiLevelType w:val="hybridMultilevel"/>
    <w:tmpl w:val="C1A0955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4D82ECDA"/>
    <w:lvl w:ilvl="0" w:tplc="0409000F">
      <w:start w:val="1"/>
      <w:numFmt w:val="decimal"/>
      <w:lvlText w:val="%1."/>
      <w:lvlJc w:val="left"/>
      <w:pPr>
        <w:tabs>
          <w:tab w:val="left" w:leader="none" w:pos="720"/>
        </w:tabs>
        <w:ind w:left="720" w:hanging="360"/>
      </w:pPr>
    </w:lvl>
    <w:lvl w:ilvl="1" w:tplc="04090019">
      <w:start w:val="1"/>
      <w:numFmt w:val="lowerLetter"/>
      <w:lvlText w:val="%2."/>
      <w:lvlJc w:val="left"/>
      <w:pPr>
        <w:tabs>
          <w:tab w:val="left" w:leader="none" w:pos="1440"/>
        </w:tabs>
        <w:ind w:left="1440" w:hanging="360"/>
      </w:pPr>
    </w:lvl>
    <w:lvl w:ilvl="2" w:tplc="0409001B" w:tentative="1">
      <w:start w:val="1"/>
      <w:numFmt w:val="lowerRoman"/>
      <w:lvlText w:val="%3."/>
      <w:lvlJc w:val="right"/>
      <w:pPr>
        <w:tabs>
          <w:tab w:val="left" w:leader="none" w:pos="2160"/>
        </w:tabs>
        <w:ind w:left="2160" w:hanging="180"/>
      </w:pPr>
    </w:lvl>
    <w:lvl w:ilvl="3" w:tplc="0409000F" w:tentative="1">
      <w:start w:val="1"/>
      <w:numFmt w:val="decimal"/>
      <w:lvlText w:val="%4."/>
      <w:lvlJc w:val="left"/>
      <w:pPr>
        <w:tabs>
          <w:tab w:val="left" w:leader="none" w:pos="2880"/>
        </w:tabs>
        <w:ind w:left="2880" w:hanging="360"/>
      </w:pPr>
    </w:lvl>
    <w:lvl w:ilvl="4" w:tplc="04090019" w:tentative="1">
      <w:start w:val="1"/>
      <w:numFmt w:val="lowerLetter"/>
      <w:lvlText w:val="%5."/>
      <w:lvlJc w:val="left"/>
      <w:pPr>
        <w:tabs>
          <w:tab w:val="left" w:leader="none" w:pos="3600"/>
        </w:tabs>
        <w:ind w:left="3600" w:hanging="360"/>
      </w:pPr>
    </w:lvl>
    <w:lvl w:ilvl="5" w:tplc="0409001B" w:tentative="1">
      <w:start w:val="1"/>
      <w:numFmt w:val="lowerRoman"/>
      <w:lvlText w:val="%6."/>
      <w:lvlJc w:val="right"/>
      <w:pPr>
        <w:tabs>
          <w:tab w:val="left" w:leader="none" w:pos="4320"/>
        </w:tabs>
        <w:ind w:left="4320" w:hanging="180"/>
      </w:pPr>
    </w:lvl>
    <w:lvl w:ilvl="6" w:tplc="0409000F" w:tentative="1">
      <w:start w:val="1"/>
      <w:numFmt w:val="decimal"/>
      <w:lvlText w:val="%7."/>
      <w:lvlJc w:val="left"/>
      <w:pPr>
        <w:tabs>
          <w:tab w:val="left" w:leader="none" w:pos="5040"/>
        </w:tabs>
        <w:ind w:left="5040" w:hanging="360"/>
      </w:pPr>
    </w:lvl>
    <w:lvl w:ilvl="7" w:tplc="04090019" w:tentative="1">
      <w:start w:val="1"/>
      <w:numFmt w:val="lowerLetter"/>
      <w:lvlText w:val="%8."/>
      <w:lvlJc w:val="left"/>
      <w:pPr>
        <w:tabs>
          <w:tab w:val="left" w:leader="none" w:pos="5760"/>
        </w:tabs>
        <w:ind w:left="5760" w:hanging="360"/>
      </w:pPr>
    </w:lvl>
    <w:lvl w:ilvl="8" w:tplc="0409001B" w:tentative="1">
      <w:start w:val="1"/>
      <w:numFmt w:val="lowerRoman"/>
      <w:lvlText w:val="%9."/>
      <w:lvlJc w:val="right"/>
      <w:pPr>
        <w:tabs>
          <w:tab w:val="left" w:leader="none" w:pos="6480"/>
        </w:tabs>
        <w:ind w:left="6480" w:hanging="180"/>
      </w:pPr>
    </w:lvl>
  </w:abstractNum>
  <w:abstractNum w:abstractNumId="9">
    <w:nsid w:val="00000009"/>
    <w:multiLevelType w:val="hybridMultilevel"/>
    <w:tmpl w:val="17A6C2EC"/>
    <w:lvl w:ilvl="0" w:tplc="603AE55A">
      <w:start w:val="1"/>
      <w:numFmt w:val="lowerLetter"/>
      <w:lvlText w:val="%1."/>
      <w:lvlJc w:val="left"/>
      <w:pPr>
        <w:tabs>
          <w:tab w:val="left" w:leader="none" w:pos="360"/>
        </w:tabs>
        <w:ind w:left="1080" w:hanging="360"/>
      </w:pPr>
      <w:rPr>
        <w:rFonts w:hint="default"/>
      </w:r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10">
    <w:nsid w:val="0000000A"/>
    <w:multiLevelType w:val="hybridMultilevel"/>
    <w:tmpl w:val="D94E33AE"/>
    <w:lvl w:ilvl="0" w:tplc="10090013">
      <w:start w:val="1"/>
      <w:numFmt w:val="upperRoman"/>
      <w:lvlText w:val="%1."/>
      <w:lvlJc w:val="righ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0000000B"/>
    <w:multiLevelType w:val="hybridMultilevel"/>
    <w:tmpl w:val="2288FD3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0000000C"/>
    <w:multiLevelType w:val="hybridMultilevel"/>
    <w:tmpl w:val="A46075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multilevel"/>
    <w:tmpl w:val="D354FE00"/>
    <w:lvl w:ilvl="0">
      <w:start w:val="1"/>
      <w:numFmt w:val="decimal"/>
      <w:lvlText w:val="%1."/>
      <w:lvlJc w:val="left"/>
      <w:pPr>
        <w:tabs>
          <w:tab w:val="left" w:leader="none" w:pos="1080"/>
        </w:tabs>
        <w:ind w:left="1080" w:hanging="360"/>
      </w:pPr>
    </w:lvl>
    <w:lvl w:ilvl="1">
      <w:start w:val="1"/>
      <w:numFmt w:val="lowerLetter"/>
      <w:lvlText w:val="%2."/>
      <w:lvlJc w:val="left"/>
      <w:pPr>
        <w:tabs>
          <w:tab w:val="left" w:leader="none" w:pos="1800"/>
        </w:tabs>
        <w:ind w:left="1800" w:hanging="360"/>
      </w:pPr>
    </w:lvl>
    <w:lvl w:ilvl="2">
      <w:start w:val="1"/>
      <w:numFmt w:val="lowerRoman"/>
      <w:lvlText w:val="%3."/>
      <w:lvlJc w:val="right"/>
      <w:pPr>
        <w:tabs>
          <w:tab w:val="left" w:leader="none" w:pos="2520"/>
        </w:tabs>
        <w:ind w:left="2520" w:hanging="180"/>
      </w:pPr>
    </w:lvl>
    <w:lvl w:ilvl="3">
      <w:start w:val="1"/>
      <w:numFmt w:val="decimal"/>
      <w:lvlText w:val="%4."/>
      <w:lvlJc w:val="left"/>
      <w:pPr>
        <w:tabs>
          <w:tab w:val="left" w:leader="none" w:pos="3240"/>
        </w:tabs>
        <w:ind w:left="3240" w:hanging="360"/>
      </w:pPr>
    </w:lvl>
    <w:lvl w:ilvl="4">
      <w:start w:val="1"/>
      <w:numFmt w:val="lowerLetter"/>
      <w:lvlText w:val="%5."/>
      <w:lvlJc w:val="left"/>
      <w:pPr>
        <w:tabs>
          <w:tab w:val="left" w:leader="none" w:pos="3960"/>
        </w:tabs>
        <w:ind w:left="3960" w:hanging="360"/>
      </w:pPr>
    </w:lvl>
    <w:lvl w:ilvl="5">
      <w:start w:val="1"/>
      <w:numFmt w:val="lowerRoman"/>
      <w:lvlText w:val="%6."/>
      <w:lvlJc w:val="right"/>
      <w:pPr>
        <w:tabs>
          <w:tab w:val="left" w:leader="none" w:pos="4680"/>
        </w:tabs>
        <w:ind w:left="4680" w:hanging="180"/>
      </w:pPr>
    </w:lvl>
    <w:lvl w:ilvl="6">
      <w:start w:val="1"/>
      <w:numFmt w:val="decimal"/>
      <w:lvlText w:val="%7."/>
      <w:lvlJc w:val="left"/>
      <w:pPr>
        <w:tabs>
          <w:tab w:val="left" w:leader="none" w:pos="5400"/>
        </w:tabs>
        <w:ind w:left="5400" w:hanging="360"/>
      </w:pPr>
    </w:lvl>
    <w:lvl w:ilvl="7">
      <w:start w:val="1"/>
      <w:numFmt w:val="lowerLetter"/>
      <w:lvlText w:val="%8."/>
      <w:lvlJc w:val="left"/>
      <w:pPr>
        <w:tabs>
          <w:tab w:val="left" w:leader="none" w:pos="6120"/>
        </w:tabs>
        <w:ind w:left="6120" w:hanging="360"/>
      </w:pPr>
    </w:lvl>
    <w:lvl w:ilvl="8">
      <w:start w:val="1"/>
      <w:numFmt w:val="lowerRoman"/>
      <w:lvlText w:val="%9."/>
      <w:lvlJc w:val="right"/>
      <w:pPr>
        <w:tabs>
          <w:tab w:val="left" w:leader="none" w:pos="6840"/>
        </w:tabs>
        <w:ind w:left="6840" w:hanging="180"/>
      </w:pPr>
    </w:lvl>
  </w:abstractNum>
  <w:abstractNum w:abstractNumId="14">
    <w:nsid w:val="0000000E"/>
    <w:multiLevelType w:val="multilevel"/>
    <w:tmpl w:val="AD0AC60A"/>
    <w:lvl w:ilvl="0">
      <w:start w:val="1"/>
      <w:numFmt w:val="lowerLetter"/>
      <w:lvlText w:val="%1."/>
      <w:lvlJc w:val="left"/>
      <w:pPr>
        <w:tabs>
          <w:tab w:val="left" w:leader="none" w:pos="720"/>
        </w:tabs>
        <w:ind w:left="720" w:hanging="360"/>
      </w:pPr>
    </w:lvl>
    <w:lvl w:ilvl="1" w:tentative="1">
      <w:start w:val="1"/>
      <w:numFmt w:val="lowerLetter"/>
      <w:lvlText w:val="%2."/>
      <w:lvlJc w:val="left"/>
      <w:pPr>
        <w:tabs>
          <w:tab w:val="left" w:leader="none" w:pos="1440"/>
        </w:tabs>
        <w:ind w:left="1440" w:hanging="360"/>
      </w:pPr>
    </w:lvl>
    <w:lvl w:ilvl="2" w:tentative="1">
      <w:start w:val="1"/>
      <w:numFmt w:val="lowerLetter"/>
      <w:lvlText w:val="%3."/>
      <w:lvlJc w:val="left"/>
      <w:pPr>
        <w:tabs>
          <w:tab w:val="left" w:leader="none" w:pos="2160"/>
        </w:tabs>
        <w:ind w:left="2160" w:hanging="360"/>
      </w:pPr>
    </w:lvl>
    <w:lvl w:ilvl="3" w:tentative="1">
      <w:start w:val="1"/>
      <w:numFmt w:val="lowerLetter"/>
      <w:lvlText w:val="%4."/>
      <w:lvlJc w:val="left"/>
      <w:pPr>
        <w:tabs>
          <w:tab w:val="left" w:leader="none" w:pos="2880"/>
        </w:tabs>
        <w:ind w:left="2880" w:hanging="360"/>
      </w:pPr>
    </w:lvl>
    <w:lvl w:ilvl="4" w:tentative="1">
      <w:start w:val="1"/>
      <w:numFmt w:val="lowerLetter"/>
      <w:lvlText w:val="%5."/>
      <w:lvlJc w:val="left"/>
      <w:pPr>
        <w:tabs>
          <w:tab w:val="left" w:leader="none" w:pos="3600"/>
        </w:tabs>
        <w:ind w:left="3600" w:hanging="360"/>
      </w:pPr>
    </w:lvl>
    <w:lvl w:ilvl="5" w:tentative="1">
      <w:start w:val="1"/>
      <w:numFmt w:val="lowerLetter"/>
      <w:lvlText w:val="%6."/>
      <w:lvlJc w:val="left"/>
      <w:pPr>
        <w:tabs>
          <w:tab w:val="left" w:leader="none" w:pos="4320"/>
        </w:tabs>
        <w:ind w:left="4320" w:hanging="360"/>
      </w:pPr>
    </w:lvl>
    <w:lvl w:ilvl="6" w:tentative="1">
      <w:start w:val="1"/>
      <w:numFmt w:val="lowerLetter"/>
      <w:lvlText w:val="%7."/>
      <w:lvlJc w:val="left"/>
      <w:pPr>
        <w:tabs>
          <w:tab w:val="left" w:leader="none" w:pos="5040"/>
        </w:tabs>
        <w:ind w:left="5040" w:hanging="360"/>
      </w:pPr>
    </w:lvl>
    <w:lvl w:ilvl="7" w:tentative="1">
      <w:start w:val="1"/>
      <w:numFmt w:val="lowerLetter"/>
      <w:lvlText w:val="%8."/>
      <w:lvlJc w:val="left"/>
      <w:pPr>
        <w:tabs>
          <w:tab w:val="left" w:leader="none" w:pos="5760"/>
        </w:tabs>
        <w:ind w:left="5760" w:hanging="360"/>
      </w:pPr>
    </w:lvl>
    <w:lvl w:ilvl="8" w:tentative="1">
      <w:start w:val="1"/>
      <w:numFmt w:val="lowerLetter"/>
      <w:lvlText w:val="%9."/>
      <w:lvlJc w:val="left"/>
      <w:pPr>
        <w:tabs>
          <w:tab w:val="left" w:leader="none" w:pos="6480"/>
        </w:tabs>
        <w:ind w:left="6480" w:hanging="360"/>
      </w:pPr>
    </w:lvl>
  </w:abstractNum>
  <w:abstractNum w:abstractNumId="15">
    <w:nsid w:val="0000000F"/>
    <w:multiLevelType w:val="hybridMultilevel"/>
    <w:tmpl w:val="A08CA6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00000010"/>
    <w:multiLevelType w:val="hybridMultilevel"/>
    <w:tmpl w:val="966C3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8A685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71288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A27628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6CE4E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8132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567C4814"/>
    <w:lvl w:ilvl="0" w:tplc="04090001">
      <w:start w:val="1"/>
      <w:numFmt w:val="bullet"/>
      <w:lvlText w:val=""/>
      <w:lvlJc w:val="left"/>
      <w:pPr>
        <w:tabs>
          <w:tab w:val="left" w:leader="none" w:pos="1080"/>
        </w:tabs>
        <w:ind w:left="1080" w:hanging="360"/>
      </w:pPr>
      <w:rPr>
        <w:rFonts w:ascii="Symbol" w:hAnsi="Symbol" w:hint="default"/>
      </w:rPr>
    </w:lvl>
    <w:lvl w:ilvl="1" w:tplc="04090003" w:tentative="1">
      <w:start w:val="1"/>
      <w:numFmt w:val="bullet"/>
      <w:lvlText w:val="o"/>
      <w:lvlJc w:val="left"/>
      <w:pPr>
        <w:tabs>
          <w:tab w:val="left" w:leader="none" w:pos="1800"/>
        </w:tabs>
        <w:ind w:left="1800" w:hanging="360"/>
      </w:pPr>
      <w:rPr>
        <w:rFonts w:ascii="Courier New" w:cs="Courier New" w:hAnsi="Courier New" w:hint="default"/>
      </w:rPr>
    </w:lvl>
    <w:lvl w:ilvl="2" w:tplc="04090005" w:tentative="1">
      <w:start w:val="1"/>
      <w:numFmt w:val="bullet"/>
      <w:lvlText w:val=""/>
      <w:lvlJc w:val="left"/>
      <w:pPr>
        <w:tabs>
          <w:tab w:val="left" w:leader="none" w:pos="2520"/>
        </w:tabs>
        <w:ind w:left="2520" w:hanging="360"/>
      </w:pPr>
      <w:rPr>
        <w:rFonts w:ascii="Wingdings" w:hAnsi="Wingdings" w:hint="default"/>
      </w:rPr>
    </w:lvl>
    <w:lvl w:ilvl="3" w:tplc="04090001" w:tentative="1">
      <w:start w:val="1"/>
      <w:numFmt w:val="bullet"/>
      <w:lvlText w:val=""/>
      <w:lvlJc w:val="left"/>
      <w:pPr>
        <w:tabs>
          <w:tab w:val="left" w:leader="none" w:pos="3240"/>
        </w:tabs>
        <w:ind w:left="3240" w:hanging="360"/>
      </w:pPr>
      <w:rPr>
        <w:rFonts w:ascii="Symbol" w:hAnsi="Symbol" w:hint="default"/>
      </w:rPr>
    </w:lvl>
    <w:lvl w:ilvl="4" w:tplc="04090003" w:tentative="1">
      <w:start w:val="1"/>
      <w:numFmt w:val="bullet"/>
      <w:lvlText w:val="o"/>
      <w:lvlJc w:val="left"/>
      <w:pPr>
        <w:tabs>
          <w:tab w:val="left" w:leader="none" w:pos="3960"/>
        </w:tabs>
        <w:ind w:left="3960" w:hanging="360"/>
      </w:pPr>
      <w:rPr>
        <w:rFonts w:ascii="Courier New" w:cs="Courier New" w:hAnsi="Courier New" w:hint="default"/>
      </w:rPr>
    </w:lvl>
    <w:lvl w:ilvl="5" w:tplc="04090005" w:tentative="1">
      <w:start w:val="1"/>
      <w:numFmt w:val="bullet"/>
      <w:lvlText w:val=""/>
      <w:lvlJc w:val="left"/>
      <w:pPr>
        <w:tabs>
          <w:tab w:val="left" w:leader="none" w:pos="4680"/>
        </w:tabs>
        <w:ind w:left="4680" w:hanging="360"/>
      </w:pPr>
      <w:rPr>
        <w:rFonts w:ascii="Wingdings" w:hAnsi="Wingdings" w:hint="default"/>
      </w:rPr>
    </w:lvl>
    <w:lvl w:ilvl="6" w:tplc="04090001" w:tentative="1">
      <w:start w:val="1"/>
      <w:numFmt w:val="bullet"/>
      <w:lvlText w:val=""/>
      <w:lvlJc w:val="left"/>
      <w:pPr>
        <w:tabs>
          <w:tab w:val="left" w:leader="none" w:pos="5400"/>
        </w:tabs>
        <w:ind w:left="5400" w:hanging="360"/>
      </w:pPr>
      <w:rPr>
        <w:rFonts w:ascii="Symbol" w:hAnsi="Symbol" w:hint="default"/>
      </w:rPr>
    </w:lvl>
    <w:lvl w:ilvl="7" w:tplc="04090003" w:tentative="1">
      <w:start w:val="1"/>
      <w:numFmt w:val="bullet"/>
      <w:lvlText w:val="o"/>
      <w:lvlJc w:val="left"/>
      <w:pPr>
        <w:tabs>
          <w:tab w:val="left" w:leader="none" w:pos="6120"/>
        </w:tabs>
        <w:ind w:left="6120" w:hanging="360"/>
      </w:pPr>
      <w:rPr>
        <w:rFonts w:ascii="Courier New" w:cs="Courier New" w:hAnsi="Courier New" w:hint="default"/>
      </w:rPr>
    </w:lvl>
    <w:lvl w:ilvl="8" w:tplc="04090005" w:tentative="1">
      <w:start w:val="1"/>
      <w:numFmt w:val="bullet"/>
      <w:lvlText w:val=""/>
      <w:lvlJc w:val="left"/>
      <w:pPr>
        <w:tabs>
          <w:tab w:val="left" w:leader="none" w:pos="6840"/>
        </w:tabs>
        <w:ind w:left="6840" w:hanging="360"/>
      </w:pPr>
      <w:rPr>
        <w:rFonts w:ascii="Wingdings" w:hAnsi="Wingdings" w:hint="default"/>
      </w:rPr>
    </w:lvl>
  </w:abstractNum>
  <w:abstractNum w:abstractNumId="23">
    <w:nsid w:val="00000017"/>
    <w:multiLevelType w:val="hybridMultilevel"/>
    <w:tmpl w:val="95D0CC90"/>
    <w:lvl w:ilvl="0" w:tplc="10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cs="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cs="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cs="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nsid w:val="00000018"/>
    <w:multiLevelType w:val="hybridMultilevel"/>
    <w:tmpl w:val="25BA94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8"/>
  </w:num>
  <w:num w:numId="3">
    <w:abstractNumId w:val="4"/>
  </w:num>
  <w:num w:numId="4">
    <w:abstractNumId w:val="9"/>
  </w:num>
  <w:num w:numId="5">
    <w:abstractNumId w:val="13"/>
  </w:num>
  <w:num w:numId="6">
    <w:abstractNumId w:val="22"/>
  </w:num>
  <w:num w:numId="7">
    <w:abstractNumId w:val="24"/>
  </w:num>
  <w:num w:numId="8">
    <w:abstractNumId w:val="7"/>
  </w:num>
  <w:num w:numId="9">
    <w:abstractNumId w:val="21"/>
  </w:num>
  <w:num w:numId="10">
    <w:abstractNumId w:val="17"/>
  </w:num>
  <w:num w:numId="11">
    <w:abstractNumId w:val="12"/>
  </w:num>
  <w:num w:numId="12">
    <w:abstractNumId w:val="18"/>
  </w:num>
  <w:num w:numId="13">
    <w:abstractNumId w:val="20"/>
  </w:num>
  <w:num w:numId="14">
    <w:abstractNumId w:val="3"/>
  </w:num>
  <w:num w:numId="15">
    <w:abstractNumId w:val="16"/>
  </w:num>
  <w:num w:numId="16">
    <w:abstractNumId w:val="19"/>
  </w:num>
  <w:num w:numId="17">
    <w:abstractNumId w:val="0"/>
    <w:lvlOverride w:ilvl="0">
      <w:startOverride w:val="10"/>
    </w:lvlOverride>
  </w:num>
  <w:num w:numId="18">
    <w:abstractNumId w:val="0"/>
    <w:lvlOverride w:ilvl="0">
      <w:startOverride w:val="11"/>
    </w:lvlOverride>
  </w:num>
  <w:num w:numId="19">
    <w:abstractNumId w:val="11"/>
  </w:num>
  <w:num w:numId="20">
    <w:abstractNumId w:val="14"/>
  </w:num>
  <w:num w:numId="21">
    <w:abstractNumId w:val="5"/>
  </w:num>
  <w:num w:numId="22">
    <w:abstractNumId w:val="2"/>
  </w:num>
  <w:num w:numId="23">
    <w:abstractNumId w:val="10"/>
  </w:num>
  <w:num w:numId="24">
    <w:abstractNumId w:val="6"/>
  </w:num>
  <w:num w:numId="25">
    <w:abstractNumId w:val="15"/>
  </w:num>
  <w:num w:numId="26">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en-CA" w:bidi="ar-SA" w:eastAsia="en-CA"/>
      </w:rPr>
    </w:rPrDefault>
    <w:pPrDefault>
      <w:pPr/>
    </w:pPrDefault>
  </w:docDefaults>
  <w:style w:type="paragraph" w:default="1" w:styleId="style0">
    <w:name w:val="Normal"/>
    <w:next w:val="style0"/>
    <w:qFormat/>
    <w:pPr/>
    <w:rPr>
      <w:sz w:val="24"/>
      <w:szCs w:val="24"/>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character" w:styleId="style39">
    <w:name w:val="annotation reference"/>
    <w:basedOn w:val="style65"/>
    <w:next w:val="style39"/>
    <w:rPr>
      <w:sz w:val="16"/>
      <w:szCs w:val="16"/>
    </w:rPr>
  </w:style>
  <w:style w:type="paragraph" w:styleId="style30">
    <w:name w:val="annotation text"/>
    <w:basedOn w:val="style0"/>
    <w:next w:val="style30"/>
    <w:link w:val="style4097"/>
    <w:pPr/>
    <w:rPr>
      <w:sz w:val="20"/>
      <w:szCs w:val="20"/>
    </w:rPr>
  </w:style>
  <w:style w:type="character" w:customStyle="1" w:styleId="style4097">
    <w:name w:val="Comment Text Char"/>
    <w:basedOn w:val="style65"/>
    <w:next w:val="style4097"/>
    <w:link w:val="style30"/>
    <w:rPr>
      <w:lang w:eastAsia="en-US"/>
    </w:rPr>
  </w:style>
  <w:style w:type="paragraph" w:styleId="style106">
    <w:name w:val="annotation subject"/>
    <w:basedOn w:val="style30"/>
    <w:next w:val="style30"/>
    <w:link w:val="style4098"/>
    <w:pPr/>
    <w:rPr>
      <w:b/>
      <w:bCs/>
    </w:rPr>
  </w:style>
  <w:style w:type="character" w:customStyle="1" w:styleId="style4098">
    <w:name w:val="Comment Subject Char"/>
    <w:basedOn w:val="style4097"/>
    <w:next w:val="style4098"/>
    <w:link w:val="style106"/>
    <w:rPr>
      <w:b/>
      <w:bCs/>
      <w:lang w:eastAsia="en-US"/>
    </w:rPr>
  </w:style>
  <w:style w:type="paragraph" w:styleId="style153">
    <w:name w:val="Balloon Text"/>
    <w:basedOn w:val="style0"/>
    <w:next w:val="style153"/>
    <w:link w:val="style4099"/>
    <w:pPr/>
    <w:rPr>
      <w:rFonts w:ascii="Tahoma" w:cs="Tahoma" w:hAnsi="Tahoma"/>
      <w:sz w:val="16"/>
      <w:szCs w:val="16"/>
    </w:rPr>
  </w:style>
  <w:style w:type="character" w:customStyle="1" w:styleId="style4099">
    <w:name w:val="Balloon Text Char"/>
    <w:basedOn w:val="style65"/>
    <w:next w:val="style4099"/>
    <w:link w:val="style153"/>
    <w:rPr>
      <w:rFonts w:ascii="Tahoma" w:cs="Tahoma" w:hAnsi="Tahoma"/>
      <w:sz w:val="16"/>
      <w:szCs w:val="16"/>
      <w:lang w:eastAsia="en-US"/>
    </w:rPr>
  </w:style>
  <w:style w:type="paragraph" w:styleId="style31">
    <w:name w:val="header"/>
    <w:basedOn w:val="style0"/>
    <w:next w:val="style31"/>
    <w:link w:val="style4100"/>
    <w:pPr>
      <w:tabs>
        <w:tab w:val="center" w:leader="none" w:pos="4320"/>
        <w:tab w:val="right" w:leader="none" w:pos="8640"/>
      </w:tabs>
    </w:pPr>
    <w:rPr/>
  </w:style>
  <w:style w:type="character" w:customStyle="1" w:styleId="style4100">
    <w:name w:val="Header Char_0327e535-554a-4f86-a589-91c9b3d04dbf"/>
    <w:basedOn w:val="style65"/>
    <w:next w:val="style4100"/>
    <w:link w:val="style31"/>
    <w:rPr>
      <w:sz w:val="24"/>
      <w:szCs w:val="24"/>
      <w:lang w:eastAsia="en-US"/>
    </w:rPr>
  </w:style>
  <w:style w:type="paragraph" w:styleId="style94">
    <w:name w:val="Normal (Web)"/>
    <w:basedOn w:val="style0"/>
    <w:next w:val="style94"/>
    <w:uiPriority w:val="99"/>
    <w:pPr>
      <w:spacing w:before="100" w:beforeAutospacing="true" w:after="100" w:afterAutospacing="true"/>
    </w:pPr>
    <w:rPr>
      <w:lang w:eastAsia="en-CA"/>
    </w:rPr>
  </w:style>
  <w:style w:type="character" w:customStyle="1" w:styleId="style4101">
    <w:name w:val="eqnum"/>
    <w:basedOn w:val="style65"/>
    <w:next w:val="style4101"/>
  </w:style>
  <w:style w:type="character" w:customStyle="1" w:styleId="style4102">
    <w:name w:val="apple-converted-space"/>
    <w:basedOn w:val="style65"/>
    <w:next w:val="style4102"/>
  </w:style>
  <w:style w:type="character" w:customStyle="1" w:styleId="style4103">
    <w:name w:val="asset_shortdesc"/>
    <w:basedOn w:val="style65"/>
    <w:next w:val="style4103"/>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C079D-AC8D-49D9-BA1B-072CC292E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964</Words>
  <Pages>4</Pages>
  <Characters>5181</Characters>
  <Application>WPS Office</Application>
  <DocSecurity>0</DocSecurity>
  <Paragraphs>325</Paragraphs>
  <ScaleCrop>false</ScaleCrop>
  <Company>Cancer Care Ontario</Company>
  <LinksUpToDate>false</LinksUpToDate>
  <CharactersWithSpaces>6073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2019-03-15T14:35:38Z</dcterms:created>
  <dc:creator>John Friedlan</dc:creator>
  <lastModifiedBy>JKM-LX1</lastModifiedBy>
  <dcterms:modified xsi:type="dcterms:W3CDTF">2019-03-15T14:35:38Z</dcterms:modified>
  <revision>7</revision>
  <dc:title>Face-to-Face</dc:title>
</coreProperties>
</file>

<file path=docProps/custom.xml><?xml version="1.0" encoding="utf-8"?>
<Properties xmlns="http://schemas.openxmlformats.org/officeDocument/2006/custom-properties" xmlns:vt="http://schemas.openxmlformats.org/officeDocument/2006/docPropsVTypes"/>
</file>